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b w:val="1"/>
          <w:color w:val="00ff00"/>
          <w:sz w:val="28"/>
          <w:szCs w:val="28"/>
        </w:rPr>
      </w:pP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Other Ideas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4981575</wp:posOffset>
            </wp:positionH>
            <wp:positionV relativeFrom="paragraph">
              <wp:posOffset>190500</wp:posOffset>
            </wp:positionV>
            <wp:extent cx="1175385" cy="156718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56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Appreciate family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something for staff appreciation or custodian appreciation?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appreciating police officers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Period Awareness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people understand that people shouldn’t be ashamed about periods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girls can get access to education on periods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Period Tax- why is there a tax!!!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Periods and the homeless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Teen suicide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Mental illness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Possibly write letter to patients on Valentines day etc. to show our support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Alzheimer’s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events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5117298</wp:posOffset>
            </wp:positionH>
            <wp:positionV relativeFrom="paragraph">
              <wp:posOffset>3063508</wp:posOffset>
            </wp:positionV>
            <wp:extent cx="1187450" cy="1603375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60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of War/ Refugees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supplies / art activity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coloring books? art is therapeutic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https://www.britishcouncil.org/voices-magazine/how-art-helped-these-children-traumatised-war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Pink out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4086225</wp:posOffset>
            </wp:positionH>
            <wp:positionV relativeFrom="paragraph">
              <wp:posOffset>95250</wp:posOffset>
            </wp:positionV>
            <wp:extent cx="1480185" cy="1480185"/>
            <wp:effectExtent b="0" l="0" r="0" t="0"/>
            <wp:wrapSquare wrapText="bothSides" distB="0" distT="0" distL="114300" distR="11430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0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breast cancer awareness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Something about body shaming? /</w:t>
      </w:r>
      <w:r w:rsidDel="00000000" w:rsidR="00000000" w:rsidRPr="00000000">
        <w:rPr>
          <w:rtl w:val="0"/>
        </w:rPr>
        <w:t xml:space="preserve">Self Love and Appreciation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disorders etc.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Campaign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pictures and information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Pictures of us holding posters with sayings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 poster with sticky notes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Kids whose parents are divorced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helping them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Advocating creativity in schools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5240020</wp:posOffset>
            </wp:positionH>
            <wp:positionV relativeFrom="paragraph">
              <wp:posOffset>4901565</wp:posOffset>
            </wp:positionV>
            <wp:extent cx="1085215" cy="1447165"/>
            <wp:effectExtent b="0" l="0" r="0" t="0"/>
            <wp:wrapSquare wrapText="bothSides" distB="0" distT="0" distL="114300" distR="11430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447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ty2miqavmv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Awareness projects will be conducted based on the themes during each month. Some examples of topics are: poverty, homelessness, food waste, hunger, plastic straw consumption, autism, alzheimer's, parkinson's disease, driving safety, down syndrome, animal welfare/shelters, cancer, conserving energy, children of war/refugees, AIDS, and various other social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7.jpg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hyperlink" Target="https://www.britishcouncil.org/voices-magazine/how-art-helped-these-children-traumatised-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